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1E04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8. Модель ценообразования активов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АРТ</w:t>
      </w:r>
      <w:proofErr w:type="gramEnd"/>
    </w:p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Модель APT (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Arbirtrage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Pricing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Theory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– модель арбитражного ценообразов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 xml:space="preserve">ния) была предложена С. Россом в 1976 году. Преимуществом арбитражной теории,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популярной CAPM, является меньшее количество предпосылок, которые делают модель ближе к реальности. Модель строится на предположении о том, что каждый инвестор стремится увеличить доходность своего портфеля без увеличения риска каждый раз, когда возникает такая возможность. То есть инвесторы стремятся воспользоваться принципом арбитража. Арбитраж – это получение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безрисковой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прибыли путем использования разных цен на одинаковые ценные бумаги или другие активы. Арбитраж является распространенной практ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кой и, как правило, состоит в покупке актива по низкой цене и одновременной его продаже по более высокой цене.</w:t>
      </w:r>
    </w:p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Арбитражные сделки играют не малую роль в обеспечении эффективного функционирования современного рынка ценных бумаг. Общее уравнение модели выглядит следующим образом:</w:t>
      </w:r>
    </w:p>
    <w:p w:rsidR="00891E04" w:rsidRPr="000C3EDF" w:rsidRDefault="00891E04" w:rsidP="00891E04">
      <w:pPr>
        <w:spacing w:after="0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4CEB8F" wp14:editId="72F57781">
            <wp:extent cx="2321859" cy="533400"/>
            <wp:effectExtent l="0" t="0" r="2540" b="0"/>
            <wp:docPr id="1" name="Рисунок 1" descr="http://studyfinance.ru/images/stories/ap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yfinance.ru/images/stories/ap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8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E04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bij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 - чувствительность доходности i-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актива к j-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фактору, </w:t>
      </w:r>
    </w:p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3EDF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 - значения i-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фактора.</w:t>
      </w:r>
    </w:p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Арбитражная модель подразумевает, что ценные бумаги с одинаковыми чу</w:t>
      </w:r>
      <w:r w:rsidRPr="000C3EDF">
        <w:rPr>
          <w:rFonts w:ascii="Times New Roman" w:hAnsi="Times New Roman" w:cs="Times New Roman"/>
          <w:sz w:val="28"/>
          <w:szCs w:val="28"/>
        </w:rPr>
        <w:t>в</w:t>
      </w:r>
      <w:r w:rsidRPr="000C3EDF">
        <w:rPr>
          <w:rFonts w:ascii="Times New Roman" w:hAnsi="Times New Roman" w:cs="Times New Roman"/>
          <w:sz w:val="28"/>
          <w:szCs w:val="28"/>
        </w:rPr>
        <w:t xml:space="preserve">ствительностями к факторам ведут себя одинаково, за исключением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внефакторного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риска. Поэтому ценные бумаги с одинаковыми чувствительностями к факторам должны иметь одинаковые ожидаемые доходности, иначе имелись бы  арбитра</w:t>
      </w:r>
      <w:r w:rsidRPr="000C3EDF">
        <w:rPr>
          <w:rFonts w:ascii="Times New Roman" w:hAnsi="Times New Roman" w:cs="Times New Roman"/>
          <w:sz w:val="28"/>
          <w:szCs w:val="28"/>
        </w:rPr>
        <w:t>ж</w:t>
      </w:r>
      <w:r w:rsidRPr="000C3EDF">
        <w:rPr>
          <w:rFonts w:ascii="Times New Roman" w:hAnsi="Times New Roman" w:cs="Times New Roman"/>
          <w:sz w:val="28"/>
          <w:szCs w:val="28"/>
        </w:rPr>
        <w:t>ные возможности, но как только такие возможности появляются, они сразу же исчезают из-за действий инвесторов.</w:t>
      </w:r>
    </w:p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Привлекательность использования арбитражной теории ценообразования определяется ее многофакторностью. На практике очень редко можно описать движение рынка лишь одним фактором, на цены акций, а значит и на их доходн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сти, влияют несколько факторов. Но многофакторность является и основным камнем преткновения для использования данной модели на практике, так как совершено непонятно какие факторы следует отобрать. Выбор факторов станови</w:t>
      </w:r>
      <w:r w:rsidRPr="000C3EDF">
        <w:rPr>
          <w:rFonts w:ascii="Times New Roman" w:hAnsi="Times New Roman" w:cs="Times New Roman"/>
          <w:sz w:val="28"/>
          <w:szCs w:val="28"/>
        </w:rPr>
        <w:t>т</w:t>
      </w:r>
      <w:r w:rsidRPr="000C3EDF">
        <w:rPr>
          <w:rFonts w:ascii="Times New Roman" w:hAnsi="Times New Roman" w:cs="Times New Roman"/>
          <w:sz w:val="28"/>
          <w:szCs w:val="28"/>
        </w:rPr>
        <w:t>ся сугубо субъективной процедурой и определяется инвестором. Именно поэтому крупные, институциональные инвесторы не особо широко применяют данную теорию в своей практике.</w:t>
      </w:r>
    </w:p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С появлением APT начали предприниматься попытки определения колич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ства влияющих факторов и сами факторы. Многие исследователи пришли к выводу, что таких факторов от 3 до 5, но сами выявленные факторы были разли</w:t>
      </w:r>
      <w:r w:rsidRPr="000C3EDF">
        <w:rPr>
          <w:rFonts w:ascii="Times New Roman" w:hAnsi="Times New Roman" w:cs="Times New Roman"/>
          <w:sz w:val="28"/>
          <w:szCs w:val="28"/>
        </w:rPr>
        <w:t>ч</w:t>
      </w:r>
      <w:r w:rsidRPr="000C3EDF">
        <w:rPr>
          <w:rFonts w:ascii="Times New Roman" w:hAnsi="Times New Roman" w:cs="Times New Roman"/>
          <w:sz w:val="28"/>
          <w:szCs w:val="28"/>
        </w:rPr>
        <w:t xml:space="preserve">ными. </w:t>
      </w:r>
      <w:r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0C3EDF">
        <w:rPr>
          <w:rFonts w:ascii="Times New Roman" w:hAnsi="Times New Roman" w:cs="Times New Roman"/>
          <w:sz w:val="28"/>
          <w:szCs w:val="28"/>
        </w:rPr>
        <w:t>выяв</w:t>
      </w:r>
      <w:r>
        <w:rPr>
          <w:rFonts w:ascii="Times New Roman" w:hAnsi="Times New Roman" w:cs="Times New Roman"/>
          <w:sz w:val="28"/>
          <w:szCs w:val="28"/>
        </w:rPr>
        <w:t>ляют</w:t>
      </w:r>
      <w:r w:rsidRPr="000C3EDF">
        <w:rPr>
          <w:rFonts w:ascii="Times New Roman" w:hAnsi="Times New Roman" w:cs="Times New Roman"/>
          <w:sz w:val="28"/>
          <w:szCs w:val="28"/>
        </w:rPr>
        <w:t xml:space="preserve"> четыре фактора:</w:t>
      </w:r>
    </w:p>
    <w:p w:rsidR="00891E04" w:rsidRPr="000673D9" w:rsidRDefault="00891E04" w:rsidP="00891E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73D9">
        <w:rPr>
          <w:rFonts w:ascii="Times New Roman" w:hAnsi="Times New Roman" w:cs="Times New Roman"/>
          <w:sz w:val="28"/>
          <w:szCs w:val="28"/>
        </w:rPr>
        <w:lastRenderedPageBreak/>
        <w:t>темп прироста промышленного производства</w:t>
      </w:r>
    </w:p>
    <w:p w:rsidR="00891E04" w:rsidRPr="000673D9" w:rsidRDefault="00891E04" w:rsidP="00891E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73D9">
        <w:rPr>
          <w:rFonts w:ascii="Times New Roman" w:hAnsi="Times New Roman" w:cs="Times New Roman"/>
          <w:sz w:val="28"/>
          <w:szCs w:val="28"/>
        </w:rPr>
        <w:t>величина инфляции</w:t>
      </w:r>
    </w:p>
    <w:p w:rsidR="00891E04" w:rsidRPr="000673D9" w:rsidRDefault="00891E04" w:rsidP="00891E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73D9">
        <w:rPr>
          <w:rFonts w:ascii="Times New Roman" w:hAnsi="Times New Roman" w:cs="Times New Roman"/>
          <w:sz w:val="28"/>
          <w:szCs w:val="28"/>
        </w:rPr>
        <w:t>разница между долгосрочными и краткосрочными факторами</w:t>
      </w:r>
    </w:p>
    <w:p w:rsidR="00891E04" w:rsidRPr="000673D9" w:rsidRDefault="00891E04" w:rsidP="00891E0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73D9">
        <w:rPr>
          <w:rFonts w:ascii="Times New Roman" w:hAnsi="Times New Roman" w:cs="Times New Roman"/>
          <w:sz w:val="28"/>
          <w:szCs w:val="28"/>
        </w:rPr>
        <w:t>разница между надежными и ненадежными облигациями.</w:t>
      </w:r>
    </w:p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Стоит отметить, что третий фактор может быть интерпретирован как хара</w:t>
      </w:r>
      <w:r w:rsidRPr="000C3EDF">
        <w:rPr>
          <w:rFonts w:ascii="Times New Roman" w:hAnsi="Times New Roman" w:cs="Times New Roman"/>
          <w:sz w:val="28"/>
          <w:szCs w:val="28"/>
        </w:rPr>
        <w:t>к</w:t>
      </w:r>
      <w:r w:rsidRPr="000C3EDF">
        <w:rPr>
          <w:rFonts w:ascii="Times New Roman" w:hAnsi="Times New Roman" w:cs="Times New Roman"/>
          <w:sz w:val="28"/>
          <w:szCs w:val="28"/>
        </w:rPr>
        <w:t xml:space="preserve">теристика временной структуры процентных ставок, а четвертый – как мера премии за риск неуплаты, которую инвестор требует за приобретение рисковых корпоративных облигаций вместо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безрисковых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казначейских.</w:t>
      </w:r>
    </w:p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Похожие факторы были определены и другими авторами. Они предложили всего пять факторов, первые три из которых совпадают с приведенными выше, а последними двумя стали темп прироста усредненных продаж в экономике и доходность индекса S&amp;P500.</w:t>
      </w:r>
    </w:p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Совершенно другие факторы для практического применения использует компания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Salomon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Brothers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:</w:t>
      </w:r>
    </w:p>
    <w:p w:rsidR="00891E04" w:rsidRPr="000673D9" w:rsidRDefault="00891E04" w:rsidP="00891E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73D9">
        <w:rPr>
          <w:rFonts w:ascii="Times New Roman" w:hAnsi="Times New Roman" w:cs="Times New Roman"/>
          <w:sz w:val="28"/>
          <w:szCs w:val="28"/>
        </w:rPr>
        <w:t>темп роста ВВП</w:t>
      </w:r>
    </w:p>
    <w:p w:rsidR="00891E04" w:rsidRPr="000673D9" w:rsidRDefault="00891E04" w:rsidP="00891E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73D9">
        <w:rPr>
          <w:rFonts w:ascii="Times New Roman" w:hAnsi="Times New Roman" w:cs="Times New Roman"/>
          <w:sz w:val="28"/>
          <w:szCs w:val="28"/>
        </w:rPr>
        <w:t>процентная ставка</w:t>
      </w:r>
    </w:p>
    <w:p w:rsidR="00891E04" w:rsidRPr="000673D9" w:rsidRDefault="00891E04" w:rsidP="00891E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73D9">
        <w:rPr>
          <w:rFonts w:ascii="Times New Roman" w:hAnsi="Times New Roman" w:cs="Times New Roman"/>
          <w:sz w:val="28"/>
          <w:szCs w:val="28"/>
        </w:rPr>
        <w:t>ставка изменения цен на нефть</w:t>
      </w:r>
    </w:p>
    <w:p w:rsidR="00891E04" w:rsidRPr="000673D9" w:rsidRDefault="00891E04" w:rsidP="00891E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73D9">
        <w:rPr>
          <w:rFonts w:ascii="Times New Roman" w:hAnsi="Times New Roman" w:cs="Times New Roman"/>
          <w:sz w:val="28"/>
          <w:szCs w:val="28"/>
        </w:rPr>
        <w:t>темп роста расходов на оборону</w:t>
      </w:r>
    </w:p>
    <w:p w:rsidR="00891E04" w:rsidRPr="000673D9" w:rsidRDefault="00891E04" w:rsidP="00891E0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73D9">
        <w:rPr>
          <w:rFonts w:ascii="Times New Roman" w:hAnsi="Times New Roman" w:cs="Times New Roman"/>
          <w:sz w:val="28"/>
          <w:szCs w:val="28"/>
        </w:rPr>
        <w:t>инфляция</w:t>
      </w:r>
    </w:p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Как видно совпадающим фактором с предыдущими исследователями стала инфляция. Такая разрозненность в результатах ставит в тупик обычного инвестора и делает APT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трудноприменимой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на практике. Одним из возможных объяснений разницы в результатах может быть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нестационарность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факторов во времени и на различных рынках. Несмотря на трудности, арбитражную теорию все-таки используют на практике и весьма успешно.</w:t>
      </w:r>
    </w:p>
    <w:p w:rsidR="00891E04" w:rsidRPr="000C3EDF" w:rsidRDefault="00891E04" w:rsidP="00891E0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Таким образом, арбитражная теория ценообразования строится на меньшем количестве предположений, чем CAPM, что делает ее более реалистичной. Многофакторность APT позволяет оценить влияние  нескольких факторов на доходности активов, но в тоже время усложняет практическое применение модели. Несмотря на проведенные исследования, окончательный список влияющих факторов назвать сложно, так как они могут быть различны для разных рынков, а что самое главное они различны на разных временных периодах.</w:t>
      </w:r>
    </w:p>
    <w:p w:rsidR="00CC55E5" w:rsidRDefault="00CC55E5">
      <w:bookmarkStart w:id="0" w:name="_GoBack"/>
      <w:bookmarkEnd w:id="0"/>
    </w:p>
    <w:sectPr w:rsidR="00CC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04B3B"/>
    <w:multiLevelType w:val="hybridMultilevel"/>
    <w:tmpl w:val="B5A85BAC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12DAA"/>
    <w:multiLevelType w:val="hybridMultilevel"/>
    <w:tmpl w:val="F75AEDE4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1A1"/>
    <w:rsid w:val="006251A1"/>
    <w:rsid w:val="00891E04"/>
    <w:rsid w:val="00CC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E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1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E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1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2020-06-19T10:30:00Z</dcterms:created>
  <dcterms:modified xsi:type="dcterms:W3CDTF">2020-06-19T10:30:00Z</dcterms:modified>
</cp:coreProperties>
</file>